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6"/>
        <w:spacing w:before="99" w:line="1248" w:lineRule="exact"/>
        <w:textAlignment w:val="center"/>
        <w:rPr/>
      </w:pPr>
      <w:r>
        <w:drawing>
          <wp:inline distT="0" distB="0" distL="0" distR="0">
            <wp:extent cx="5668504" cy="792314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68504" cy="79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3104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1"/>
        </w:rPr>
        <w:t>虞科〔202</w:t>
      </w:r>
      <w:r>
        <w:rPr>
          <w:rFonts w:ascii="FangSong" w:hAnsi="FangSong" w:eastAsia="FangSong" w:cs="FangSong"/>
          <w:sz w:val="31"/>
          <w:szCs w:val="31"/>
          <w:color w:val="333333"/>
        </w:rPr>
        <w:t>0〕20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</w:rPr>
        <w:t>号</w:t>
      </w:r>
    </w:p>
    <w:p>
      <w:pPr>
        <w:spacing w:before="194" w:line="65" w:lineRule="exact"/>
        <w:textAlignment w:val="center"/>
        <w:rPr/>
      </w:pPr>
      <w:r>
        <w:drawing>
          <wp:inline distT="0" distB="0" distL="0" distR="0">
            <wp:extent cx="5792546" cy="412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92546" cy="4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left="2196" w:right="1370" w:hanging="1056"/>
        <w:spacing w:before="139" w:line="230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34"/>
        </w:rPr>
        <w:t>关</w:t>
      </w:r>
      <w:r>
        <w:rPr>
          <w:rFonts w:ascii="SimHei" w:hAnsi="SimHei" w:eastAsia="SimHei" w:cs="SimHei"/>
          <w:sz w:val="43"/>
          <w:szCs w:val="43"/>
          <w:spacing w:val="-25"/>
        </w:rPr>
        <w:t>于下达绍兴市上虞区2020</w:t>
      </w:r>
      <w:r>
        <w:rPr>
          <w:rFonts w:ascii="SimHei" w:hAnsi="SimHei" w:eastAsia="SimHei" w:cs="SimHei"/>
          <w:sz w:val="43"/>
          <w:szCs w:val="43"/>
          <w:spacing w:val="-25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25"/>
        </w:rPr>
        <w:t>年度区级</w:t>
      </w:r>
      <w:r>
        <w:rPr>
          <w:rFonts w:ascii="SimHei" w:hAnsi="SimHei" w:eastAsia="SimHei" w:cs="SimHei"/>
          <w:sz w:val="43"/>
          <w:szCs w:val="43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27"/>
        </w:rPr>
        <w:t>社</w:t>
      </w:r>
      <w:r>
        <w:rPr>
          <w:rFonts w:ascii="SimHei" w:hAnsi="SimHei" w:eastAsia="SimHei" w:cs="SimHei"/>
          <w:sz w:val="43"/>
          <w:szCs w:val="43"/>
          <w:spacing w:val="-25"/>
        </w:rPr>
        <w:t>会发展科技计划的通知</w:t>
      </w:r>
    </w:p>
    <w:p>
      <w:pPr>
        <w:spacing w:line="415" w:lineRule="auto"/>
        <w:rPr>
          <w:rFonts w:ascii="Arial"/>
          <w:sz w:val="21"/>
        </w:rPr>
      </w:pPr>
      <w:r/>
    </w:p>
    <w:p>
      <w:pPr>
        <w:ind w:left="265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各项目承担单位</w:t>
      </w:r>
      <w:r>
        <w:rPr>
          <w:rFonts w:ascii="FangSong" w:hAnsi="FangSong" w:eastAsia="FangSong" w:cs="FangSong"/>
          <w:sz w:val="31"/>
          <w:szCs w:val="31"/>
          <w:spacing w:val="6"/>
        </w:rPr>
        <w:t>:</w:t>
      </w:r>
    </w:p>
    <w:p>
      <w:pPr>
        <w:ind w:left="267" w:right="556" w:firstLine="634"/>
        <w:spacing w:before="107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根</w:t>
      </w:r>
      <w:r>
        <w:rPr>
          <w:rFonts w:ascii="FangSong" w:hAnsi="FangSong" w:eastAsia="FangSong" w:cs="FangSong"/>
          <w:sz w:val="31"/>
          <w:szCs w:val="31"/>
          <w:spacing w:val="8"/>
        </w:rPr>
        <w:t>据区科技局《关于组织申报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2020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年度上虞区级社会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发展科技</w:t>
      </w:r>
      <w:r>
        <w:rPr>
          <w:rFonts w:ascii="FangSong" w:hAnsi="FangSong" w:eastAsia="FangSong" w:cs="FangSong"/>
          <w:sz w:val="31"/>
          <w:szCs w:val="31"/>
          <w:spacing w:val="-2"/>
        </w:rPr>
        <w:t>计划项目的通知》(虞科[2020]11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号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)，对各单位申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报</w:t>
      </w:r>
      <w:r>
        <w:rPr>
          <w:rFonts w:ascii="FangSong" w:hAnsi="FangSong" w:eastAsia="FangSong" w:cs="FangSong"/>
          <w:sz w:val="31"/>
          <w:szCs w:val="31"/>
          <w:spacing w:val="9"/>
        </w:rPr>
        <w:t>的社会发展科技项目，经主管部门审核、科室联审、专家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评审、集体决策和媒体公示等程序，现将绍兴市上虞区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20</w:t>
      </w:r>
      <w:r>
        <w:rPr>
          <w:rFonts w:ascii="FangSong" w:hAnsi="FangSong" w:eastAsia="FangSong" w:cs="FangSong"/>
          <w:sz w:val="31"/>
          <w:szCs w:val="31"/>
          <w:spacing w:val="1"/>
        </w:rPr>
        <w:t>2</w:t>
      </w:r>
      <w:r>
        <w:rPr>
          <w:rFonts w:ascii="FangSong" w:hAnsi="FangSong" w:eastAsia="FangSong" w:cs="FangSong"/>
          <w:sz w:val="31"/>
          <w:szCs w:val="31"/>
        </w:rPr>
        <w:t>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年</w:t>
      </w:r>
      <w:r>
        <w:rPr>
          <w:rFonts w:ascii="FangSong" w:hAnsi="FangSong" w:eastAsia="FangSong" w:cs="FangSong"/>
          <w:sz w:val="31"/>
          <w:szCs w:val="31"/>
          <w:spacing w:val="9"/>
        </w:rPr>
        <w:t>度区级社会发展科技项目计划下达给你们，有关事项通知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如下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92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1.2020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3"/>
        </w:rPr>
        <w:t>度共安排了区级社会发展科技计划项目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28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项。</w:t>
      </w:r>
    </w:p>
    <w:p>
      <w:pPr>
        <w:ind w:left="274" w:right="556" w:firstLine="643"/>
        <w:spacing w:before="106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.按照有关科技计划和项目管理办法，各项目承担单位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应</w:t>
      </w:r>
      <w:r>
        <w:rPr>
          <w:rFonts w:ascii="FangSong" w:hAnsi="FangSong" w:eastAsia="FangSong" w:cs="FangSong"/>
          <w:sz w:val="31"/>
          <w:szCs w:val="31"/>
          <w:spacing w:val="8"/>
        </w:rPr>
        <w:t>多渠道落实配套资金，加快项目的实施。</w:t>
      </w:r>
    </w:p>
    <w:p>
      <w:pPr>
        <w:ind w:left="276" w:right="556" w:firstLine="653"/>
        <w:spacing w:before="1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3</w:t>
      </w:r>
      <w:r>
        <w:rPr>
          <w:rFonts w:ascii="FangSong" w:hAnsi="FangSong" w:eastAsia="FangSong" w:cs="FangSong"/>
          <w:sz w:val="31"/>
          <w:szCs w:val="31"/>
          <w:spacing w:val="21"/>
        </w:rPr>
        <w:t>.各项目承担单位应及时将科技计划项目进展情况报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告</w:t>
      </w:r>
      <w:r>
        <w:rPr>
          <w:rFonts w:ascii="FangSong" w:hAnsi="FangSong" w:eastAsia="FangSong" w:cs="FangSong"/>
          <w:sz w:val="31"/>
          <w:szCs w:val="31"/>
          <w:spacing w:val="11"/>
        </w:rPr>
        <w:t>我</w:t>
      </w:r>
      <w:r>
        <w:rPr>
          <w:rFonts w:ascii="FangSong" w:hAnsi="FangSong" w:eastAsia="FangSong" w:cs="FangSong"/>
          <w:sz w:val="31"/>
          <w:szCs w:val="31"/>
          <w:spacing w:val="8"/>
        </w:rPr>
        <w:t>局，项目到期后提交项目绩效考评自评报告。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ind w:left="92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2743365</wp:posOffset>
            </wp:positionH>
            <wp:positionV relativeFrom="paragraph">
              <wp:posOffset>-235361</wp:posOffset>
            </wp:positionV>
            <wp:extent cx="2014727" cy="1897379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4727" cy="189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8"/>
        </w:rPr>
        <w:t>附</w:t>
      </w:r>
      <w:r>
        <w:rPr>
          <w:rFonts w:ascii="FangSong" w:hAnsi="FangSong" w:eastAsia="FangSong" w:cs="FangSong"/>
          <w:sz w:val="31"/>
          <w:szCs w:val="31"/>
          <w:spacing w:val="6"/>
        </w:rPr>
        <w:t>件</w:t>
      </w:r>
      <w:r>
        <w:rPr>
          <w:rFonts w:ascii="FangSong" w:hAnsi="FangSong" w:eastAsia="FangSong" w:cs="FangSong"/>
          <w:sz w:val="31"/>
          <w:szCs w:val="31"/>
          <w:spacing w:val="4"/>
        </w:rPr>
        <w:t>：2020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年度上虞区级社会发展科技计划项目表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4123" w:right="1509" w:hanging="7"/>
        <w:spacing w:before="102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绍</w:t>
      </w:r>
      <w:r>
        <w:rPr>
          <w:rFonts w:ascii="FangSong" w:hAnsi="FangSong" w:eastAsia="FangSong" w:cs="FangSong"/>
          <w:sz w:val="31"/>
          <w:szCs w:val="31"/>
          <w:spacing w:val="8"/>
        </w:rPr>
        <w:t>兴</w:t>
      </w:r>
      <w:r>
        <w:rPr>
          <w:rFonts w:ascii="FangSong" w:hAnsi="FangSong" w:eastAsia="FangSong" w:cs="FangSong"/>
          <w:sz w:val="31"/>
          <w:szCs w:val="31"/>
          <w:spacing w:val="7"/>
        </w:rPr>
        <w:t>市上虞区科学技术局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二</w:t>
      </w:r>
      <w:r>
        <w:rPr>
          <w:rFonts w:ascii="FangSong" w:hAnsi="FangSong" w:eastAsia="FangSong" w:cs="FangSong"/>
          <w:sz w:val="31"/>
          <w:szCs w:val="31"/>
          <w:spacing w:val="7"/>
        </w:rPr>
        <w:t>○二○年十一月十三日</w:t>
      </w:r>
    </w:p>
    <w:p>
      <w:pPr>
        <w:sectPr>
          <w:footerReference w:type="default" r:id="rId1"/>
          <w:pgSz w:w="11906" w:h="16839"/>
          <w:pgMar w:top="1431" w:right="1240" w:bottom="1240" w:left="1542" w:header="0" w:footer="1080" w:gutter="0"/>
        </w:sectPr>
        <w:rPr/>
      </w:pPr>
    </w:p>
    <w:p>
      <w:pPr>
        <w:ind w:left="681"/>
        <w:spacing w:before="16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附件：</w:t>
      </w:r>
    </w:p>
    <w:p>
      <w:pPr>
        <w:ind w:left="1704"/>
        <w:spacing w:before="226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Times New Roman" w:hAnsi="Times New Roman" w:eastAsia="Times New Roman" w:cs="Times New Roman"/>
          <w:sz w:val="35"/>
          <w:szCs w:val="35"/>
          <w:spacing w:val="11"/>
        </w:rPr>
        <w:t>2</w:t>
      </w:r>
      <w:r>
        <w:rPr>
          <w:rFonts w:ascii="Times New Roman" w:hAnsi="Times New Roman" w:eastAsia="Times New Roman" w:cs="Times New Roman"/>
          <w:sz w:val="35"/>
          <w:szCs w:val="35"/>
          <w:spacing w:val="8"/>
        </w:rPr>
        <w:t>020</w:t>
      </w:r>
      <w:r>
        <w:rPr>
          <w:rFonts w:ascii="Times New Roman" w:hAnsi="Times New Roman" w:eastAsia="Times New Roman" w:cs="Times New Roman"/>
          <w:sz w:val="35"/>
          <w:szCs w:val="35"/>
          <w:spacing w:val="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8"/>
        </w:rPr>
        <w:t>年度立项上虞区级科技计划项目表</w:t>
      </w:r>
    </w:p>
    <w:p>
      <w:pPr>
        <w:ind w:left="3222"/>
        <w:spacing w:before="195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28"/>
        </w:rPr>
        <w:t>(</w:t>
      </w:r>
      <w:r>
        <w:rPr>
          <w:rFonts w:ascii="SimHei" w:hAnsi="SimHei" w:eastAsia="SimHei" w:cs="SimHei"/>
          <w:sz w:val="35"/>
          <w:szCs w:val="35"/>
          <w:spacing w:val="23"/>
        </w:rPr>
        <w:t>医药社会发展类)</w:t>
      </w:r>
    </w:p>
    <w:p>
      <w:pPr>
        <w:spacing w:line="64" w:lineRule="exact"/>
        <w:rPr/>
      </w:pPr>
      <w:r/>
    </w:p>
    <w:tbl>
      <w:tblPr>
        <w:tblStyle w:val="2"/>
        <w:tblW w:w="94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5908"/>
        <w:gridCol w:w="2789"/>
      </w:tblGrid>
      <w:tr>
        <w:trPr>
          <w:trHeight w:val="566" w:hRule="atLeast"/>
        </w:trPr>
        <w:tc>
          <w:tcPr>
            <w:tcW w:w="712" w:type="dxa"/>
            <w:vAlign w:val="top"/>
          </w:tcPr>
          <w:p>
            <w:pPr>
              <w:ind w:left="124"/>
              <w:spacing w:before="164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序号</w:t>
            </w:r>
          </w:p>
        </w:tc>
        <w:tc>
          <w:tcPr>
            <w:tcW w:w="5908" w:type="dxa"/>
            <w:vAlign w:val="top"/>
          </w:tcPr>
          <w:p>
            <w:pPr>
              <w:ind w:left="2479"/>
              <w:spacing w:before="16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>项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目名称</w:t>
            </w:r>
          </w:p>
        </w:tc>
        <w:tc>
          <w:tcPr>
            <w:tcW w:w="2789" w:type="dxa"/>
            <w:vAlign w:val="top"/>
          </w:tcPr>
          <w:p>
            <w:pPr>
              <w:ind w:left="1040"/>
              <w:spacing w:before="16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>项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目单位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326"/>
              <w:spacing w:before="210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908" w:type="dxa"/>
            <w:vAlign w:val="top"/>
          </w:tcPr>
          <w:p>
            <w:pPr>
              <w:ind w:left="111"/>
              <w:spacing w:before="17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袋鼠式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护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理对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NICU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早产儿生长发育影响的研究</w:t>
            </w:r>
          </w:p>
        </w:tc>
        <w:tc>
          <w:tcPr>
            <w:tcW w:w="2789" w:type="dxa"/>
            <w:vAlign w:val="top"/>
          </w:tcPr>
          <w:p>
            <w:pPr>
              <w:ind w:left="353"/>
              <w:spacing w:before="1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兴市上虞妇幼保健院</w:t>
            </w:r>
          </w:p>
        </w:tc>
      </w:tr>
      <w:tr>
        <w:trPr>
          <w:trHeight w:val="561" w:hRule="atLeast"/>
        </w:trPr>
        <w:tc>
          <w:tcPr>
            <w:tcW w:w="712" w:type="dxa"/>
            <w:vAlign w:val="top"/>
          </w:tcPr>
          <w:p>
            <w:pPr>
              <w:ind w:left="314"/>
              <w:spacing w:before="21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5908" w:type="dxa"/>
            <w:vAlign w:val="top"/>
          </w:tcPr>
          <w:p>
            <w:pPr>
              <w:ind w:left="110"/>
              <w:spacing w:before="17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激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光治疗阴道上皮内瘤变疗效观察</w:t>
            </w:r>
          </w:p>
        </w:tc>
        <w:tc>
          <w:tcPr>
            <w:tcW w:w="2789" w:type="dxa"/>
            <w:vAlign w:val="top"/>
          </w:tcPr>
          <w:p>
            <w:pPr>
              <w:ind w:left="353"/>
              <w:spacing w:before="1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兴市上虞妇幼保健院</w:t>
            </w:r>
          </w:p>
        </w:tc>
      </w:tr>
      <w:tr>
        <w:trPr>
          <w:trHeight w:val="561" w:hRule="atLeast"/>
        </w:trPr>
        <w:tc>
          <w:tcPr>
            <w:tcW w:w="712" w:type="dxa"/>
            <w:vAlign w:val="top"/>
          </w:tcPr>
          <w:p>
            <w:pPr>
              <w:ind w:left="316"/>
              <w:spacing w:before="21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5908" w:type="dxa"/>
            <w:vAlign w:val="top"/>
          </w:tcPr>
          <w:p>
            <w:pPr>
              <w:ind w:left="115"/>
              <w:spacing w:before="17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维生素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与儿童生长发育相关性的调查研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究</w:t>
            </w:r>
          </w:p>
        </w:tc>
        <w:tc>
          <w:tcPr>
            <w:tcW w:w="2789" w:type="dxa"/>
            <w:vAlign w:val="top"/>
          </w:tcPr>
          <w:p>
            <w:pPr>
              <w:ind w:left="353"/>
              <w:spacing w:before="1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兴市上虞妇幼保健院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311"/>
              <w:spacing w:before="214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5908" w:type="dxa"/>
            <w:vAlign w:val="top"/>
          </w:tcPr>
          <w:p>
            <w:pPr>
              <w:ind w:left="115"/>
              <w:spacing w:before="17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督脉灸治疗慢性荨麻疹技术推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广</w:t>
            </w:r>
          </w:p>
        </w:tc>
        <w:tc>
          <w:tcPr>
            <w:tcW w:w="2789" w:type="dxa"/>
            <w:vAlign w:val="top"/>
          </w:tcPr>
          <w:p>
            <w:pPr>
              <w:ind w:left="353"/>
              <w:spacing w:before="17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兴市上虞妇幼保健院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316"/>
              <w:spacing w:before="21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5908" w:type="dxa"/>
            <w:vAlign w:val="top"/>
          </w:tcPr>
          <w:p>
            <w:pPr>
              <w:ind w:left="111"/>
              <w:spacing w:before="17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妊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娠期糖尿病对新生儿心脏发育的影响</w:t>
            </w:r>
          </w:p>
        </w:tc>
        <w:tc>
          <w:tcPr>
            <w:tcW w:w="2789" w:type="dxa"/>
            <w:vAlign w:val="top"/>
          </w:tcPr>
          <w:p>
            <w:pPr>
              <w:ind w:left="353"/>
              <w:spacing w:before="17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兴市上虞妇幼保健院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313"/>
              <w:spacing w:before="21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5908" w:type="dxa"/>
            <w:vAlign w:val="top"/>
          </w:tcPr>
          <w:p>
            <w:pPr>
              <w:ind w:left="111"/>
              <w:spacing w:before="17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桥本甲状腺炎与维生素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缺乏的相关性研究</w:t>
            </w:r>
          </w:p>
        </w:tc>
        <w:tc>
          <w:tcPr>
            <w:tcW w:w="2789" w:type="dxa"/>
            <w:vAlign w:val="top"/>
          </w:tcPr>
          <w:p>
            <w:pPr>
              <w:ind w:left="142"/>
              <w:spacing w:before="17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绍兴市上虞第二人人民医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316"/>
              <w:spacing w:before="21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5908" w:type="dxa"/>
            <w:vAlign w:val="top"/>
          </w:tcPr>
          <w:p>
            <w:pPr>
              <w:ind w:left="105"/>
              <w:spacing w:before="17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ARNI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对房颤患者心衰治疗的影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响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兴市上虞人民医院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312"/>
              <w:spacing w:before="21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5908" w:type="dxa"/>
            <w:vAlign w:val="top"/>
          </w:tcPr>
          <w:p>
            <w:pPr>
              <w:ind w:left="122" w:right="236" w:hanging="12"/>
              <w:spacing w:before="5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在没有术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中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CT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的情况下如何准确复位固定下胫腓联合损伤的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床研究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兴市上虞人民医院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312"/>
              <w:spacing w:before="21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5908" w:type="dxa"/>
            <w:vAlign w:val="top"/>
          </w:tcPr>
          <w:p>
            <w:pPr>
              <w:ind w:left="131"/>
              <w:spacing w:before="17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中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医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辩证论治联合离子导入治疗干眼的临床观察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兴市上虞人民医院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276"/>
              <w:spacing w:before="21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0</w:t>
            </w:r>
          </w:p>
        </w:tc>
        <w:tc>
          <w:tcPr>
            <w:tcW w:w="5908" w:type="dxa"/>
            <w:vAlign w:val="top"/>
          </w:tcPr>
          <w:p>
            <w:pPr>
              <w:ind w:left="111"/>
              <w:spacing w:before="17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双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手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握力评价插管全麻后肌松药残余作用的研究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兴市上虞人民医院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276"/>
              <w:spacing w:before="211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</w:p>
        </w:tc>
        <w:tc>
          <w:tcPr>
            <w:tcW w:w="5908" w:type="dxa"/>
            <w:vAlign w:val="top"/>
          </w:tcPr>
          <w:p>
            <w:pPr>
              <w:ind w:left="106"/>
              <w:spacing w:before="17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BMP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对炎症牙髓修复、再生的研究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兴市上虞人民医院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276"/>
              <w:spacing w:before="213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2</w:t>
            </w:r>
          </w:p>
        </w:tc>
        <w:tc>
          <w:tcPr>
            <w:tcW w:w="5908" w:type="dxa"/>
            <w:vAlign w:val="top"/>
          </w:tcPr>
          <w:p>
            <w:pPr>
              <w:ind w:left="110"/>
              <w:spacing w:before="174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探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讨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D-dimer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联合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SpO2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对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PTE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的诊断价值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兴市上虞人民医院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276"/>
              <w:spacing w:before="21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3</w:t>
            </w:r>
          </w:p>
        </w:tc>
        <w:tc>
          <w:tcPr>
            <w:tcW w:w="5908" w:type="dxa"/>
            <w:vAlign w:val="top"/>
          </w:tcPr>
          <w:p>
            <w:pPr>
              <w:ind w:left="111" w:right="130" w:firstLine="1"/>
              <w:spacing w:before="52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耳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穴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埋豆配合心理护理改善乳腺肿瘤手术病人术前焦虑的效果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观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察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兴市上虞人民医院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276"/>
              <w:spacing w:before="21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4</w:t>
            </w:r>
          </w:p>
        </w:tc>
        <w:tc>
          <w:tcPr>
            <w:tcW w:w="5908" w:type="dxa"/>
            <w:vAlign w:val="top"/>
          </w:tcPr>
          <w:p>
            <w:pPr>
              <w:ind w:left="111"/>
              <w:spacing w:before="17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基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层医院信息化建设调研及开发实践管理分析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兴市上虞人民医院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276"/>
              <w:spacing w:before="21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5</w:t>
            </w:r>
          </w:p>
        </w:tc>
        <w:tc>
          <w:tcPr>
            <w:tcW w:w="5908" w:type="dxa"/>
            <w:vAlign w:val="top"/>
          </w:tcPr>
          <w:p>
            <w:pPr>
              <w:ind w:left="115" w:right="106" w:hanging="1"/>
              <w:spacing w:before="5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艾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盐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包热敷联合喜辽妥外涂预防周围静脉甘露醇输注病人静脉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炎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的效果观察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兴市上虞中医医院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276"/>
              <w:spacing w:before="21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6</w:t>
            </w:r>
          </w:p>
        </w:tc>
        <w:tc>
          <w:tcPr>
            <w:tcW w:w="5908" w:type="dxa"/>
            <w:vAlign w:val="top"/>
          </w:tcPr>
          <w:p>
            <w:pPr>
              <w:ind w:left="111" w:right="104"/>
              <w:spacing w:before="5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基于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64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CT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不同剂量模式下靶扫描技术在肺实性结节的诊</w:t>
            </w:r>
            <w:r>
              <w:rPr>
                <w:rFonts w:ascii="SimSun" w:hAnsi="SimSun" w:eastAsia="SimSun" w:cs="SimSun"/>
                <w:sz w:val="20"/>
                <w:szCs w:val="20"/>
              </w:rPr>
              <w:t>断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价值对比研究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兴市上虞中医医院</w:t>
            </w:r>
          </w:p>
        </w:tc>
      </w:tr>
      <w:tr>
        <w:trPr>
          <w:trHeight w:val="561" w:hRule="atLeast"/>
        </w:trPr>
        <w:tc>
          <w:tcPr>
            <w:tcW w:w="712" w:type="dxa"/>
            <w:vAlign w:val="top"/>
          </w:tcPr>
          <w:p>
            <w:pPr>
              <w:ind w:left="276"/>
              <w:spacing w:before="21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7</w:t>
            </w:r>
          </w:p>
        </w:tc>
        <w:tc>
          <w:tcPr>
            <w:tcW w:w="5908" w:type="dxa"/>
            <w:vAlign w:val="top"/>
          </w:tcPr>
          <w:p>
            <w:pPr>
              <w:ind w:left="112"/>
              <w:spacing w:before="17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移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动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护理信息系统在住院糖尿病患者健康教育的应用研究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兴市上虞中医医院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276"/>
              <w:spacing w:before="21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8</w:t>
            </w:r>
          </w:p>
        </w:tc>
        <w:tc>
          <w:tcPr>
            <w:tcW w:w="5908" w:type="dxa"/>
            <w:vAlign w:val="top"/>
          </w:tcPr>
          <w:p>
            <w:pPr>
              <w:ind w:left="111"/>
              <w:spacing w:before="17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健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脾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祛湿化瘀法治疗脾胃虚弱型慢性萎缩性胃炎的临床观察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兴市上虞中医医院</w:t>
            </w:r>
          </w:p>
        </w:tc>
      </w:tr>
      <w:tr>
        <w:trPr>
          <w:trHeight w:val="561" w:hRule="atLeast"/>
        </w:trPr>
        <w:tc>
          <w:tcPr>
            <w:tcW w:w="712" w:type="dxa"/>
            <w:vAlign w:val="top"/>
          </w:tcPr>
          <w:p>
            <w:pPr>
              <w:ind w:left="276"/>
              <w:spacing w:before="21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9</w:t>
            </w:r>
          </w:p>
        </w:tc>
        <w:tc>
          <w:tcPr>
            <w:tcW w:w="5908" w:type="dxa"/>
            <w:vAlign w:val="top"/>
          </w:tcPr>
          <w:p>
            <w:pPr>
              <w:ind w:left="110"/>
              <w:spacing w:before="17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銅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刮痧疗法对寒凝血瘀型原发性痛经的临床护理观察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兴市上虞中医医院</w:t>
            </w:r>
          </w:p>
        </w:tc>
      </w:tr>
      <w:tr>
        <w:trPr>
          <w:trHeight w:val="564" w:hRule="atLeast"/>
        </w:trPr>
        <w:tc>
          <w:tcPr>
            <w:tcW w:w="712" w:type="dxa"/>
            <w:vAlign w:val="top"/>
          </w:tcPr>
          <w:p>
            <w:pPr>
              <w:ind w:left="264"/>
              <w:spacing w:before="21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  <w:tc>
          <w:tcPr>
            <w:tcW w:w="5908" w:type="dxa"/>
            <w:vAlign w:val="top"/>
          </w:tcPr>
          <w:p>
            <w:pPr>
              <w:ind w:left="120" w:right="106" w:hanging="8"/>
              <w:spacing w:before="56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少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腹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逐瘀汤加减治疗寒凝血瘀型子宫内膜异位症痛经的临床研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究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兴市上虞中医医院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9"/>
          <w:pgMar w:top="1431" w:right="1339" w:bottom="1240" w:left="1152" w:header="0" w:footer="108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4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5908"/>
        <w:gridCol w:w="2789"/>
      </w:tblGrid>
      <w:tr>
        <w:trPr>
          <w:trHeight w:val="566" w:hRule="atLeast"/>
        </w:trPr>
        <w:tc>
          <w:tcPr>
            <w:tcW w:w="712" w:type="dxa"/>
            <w:vAlign w:val="top"/>
          </w:tcPr>
          <w:p>
            <w:pPr>
              <w:ind w:left="264"/>
              <w:spacing w:before="215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  <w:tc>
          <w:tcPr>
            <w:tcW w:w="5908" w:type="dxa"/>
            <w:vAlign w:val="top"/>
          </w:tcPr>
          <w:p>
            <w:pPr>
              <w:ind w:left="123"/>
              <w:spacing w:before="17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ICU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护士对经鼻高流量湿化氧疗的知信行调查研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究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兴市上虞中医医院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264"/>
              <w:spacing w:before="21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22</w:t>
            </w:r>
          </w:p>
        </w:tc>
        <w:tc>
          <w:tcPr>
            <w:tcW w:w="5908" w:type="dxa"/>
            <w:vAlign w:val="top"/>
          </w:tcPr>
          <w:p>
            <w:pPr>
              <w:ind w:left="111"/>
              <w:spacing w:before="17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基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层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中医院院感监测系统在消毒灭菌中的应用研究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兴市上虞中医医院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264"/>
              <w:spacing w:before="21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23</w:t>
            </w:r>
          </w:p>
        </w:tc>
        <w:tc>
          <w:tcPr>
            <w:tcW w:w="5908" w:type="dxa"/>
            <w:vAlign w:val="top"/>
          </w:tcPr>
          <w:p>
            <w:pPr>
              <w:ind w:left="111"/>
              <w:spacing w:before="17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微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流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控凝血检测临床评价及其在急诊检验中的应用研究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兴市上虞中医医院</w:t>
            </w:r>
          </w:p>
        </w:tc>
      </w:tr>
      <w:tr>
        <w:trPr>
          <w:trHeight w:val="561" w:hRule="atLeast"/>
        </w:trPr>
        <w:tc>
          <w:tcPr>
            <w:tcW w:w="712" w:type="dxa"/>
            <w:vAlign w:val="top"/>
          </w:tcPr>
          <w:p>
            <w:pPr>
              <w:ind w:left="264"/>
              <w:spacing w:before="21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24</w:t>
            </w:r>
          </w:p>
        </w:tc>
        <w:tc>
          <w:tcPr>
            <w:tcW w:w="5908" w:type="dxa"/>
            <w:vAlign w:val="top"/>
          </w:tcPr>
          <w:p>
            <w:pPr>
              <w:ind w:left="111" w:right="106"/>
              <w:spacing w:before="53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柴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芩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温胆汤加减联合穴位贴敷治疗糖尿病合并焦虑抑郁的临床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究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兴市上虞中医医院</w:t>
            </w:r>
          </w:p>
        </w:tc>
      </w:tr>
      <w:tr>
        <w:trPr>
          <w:trHeight w:val="561" w:hRule="atLeast"/>
        </w:trPr>
        <w:tc>
          <w:tcPr>
            <w:tcW w:w="712" w:type="dxa"/>
            <w:vAlign w:val="top"/>
          </w:tcPr>
          <w:p>
            <w:pPr>
              <w:ind w:left="264"/>
              <w:spacing w:before="21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</w:p>
        </w:tc>
        <w:tc>
          <w:tcPr>
            <w:tcW w:w="5908" w:type="dxa"/>
            <w:vAlign w:val="top"/>
          </w:tcPr>
          <w:p>
            <w:pPr>
              <w:ind w:left="111"/>
              <w:spacing w:before="17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补阳还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五汤预防泌尿外科术后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VTE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形成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兴市上虞中医医院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264"/>
              <w:spacing w:before="21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</w:t>
            </w:r>
          </w:p>
        </w:tc>
        <w:tc>
          <w:tcPr>
            <w:tcW w:w="5908" w:type="dxa"/>
            <w:vAlign w:val="top"/>
          </w:tcPr>
          <w:p>
            <w:pPr>
              <w:ind w:left="111"/>
              <w:spacing w:before="17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桡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骨远端骨折与肩袖损伤的相关性研究分析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兴市上虞中医医院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264"/>
              <w:spacing w:before="21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27</w:t>
            </w:r>
          </w:p>
        </w:tc>
        <w:tc>
          <w:tcPr>
            <w:tcW w:w="5908" w:type="dxa"/>
            <w:vAlign w:val="top"/>
          </w:tcPr>
          <w:p>
            <w:pPr>
              <w:ind w:left="121" w:right="106" w:hanging="8"/>
              <w:spacing w:before="52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穴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位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注射联合耳穴压豆缓解急性酒精中毒呕吐症状的干预性研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究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兴市上虞中医医院</w:t>
            </w:r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ind w:left="264"/>
              <w:spacing w:before="21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28</w:t>
            </w:r>
          </w:p>
        </w:tc>
        <w:tc>
          <w:tcPr>
            <w:tcW w:w="5908" w:type="dxa"/>
            <w:vAlign w:val="top"/>
          </w:tcPr>
          <w:p>
            <w:pPr>
              <w:ind w:left="113"/>
              <w:spacing w:before="17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上虞城市热岛效应研究分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析</w:t>
            </w:r>
          </w:p>
        </w:tc>
        <w:tc>
          <w:tcPr>
            <w:tcW w:w="2789" w:type="dxa"/>
            <w:vAlign w:val="top"/>
          </w:tcPr>
          <w:p>
            <w:pPr>
              <w:ind w:left="459"/>
              <w:spacing w:before="17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兴市上虞区气象局</w:t>
            </w:r>
          </w:p>
        </w:tc>
      </w:tr>
      <w:tr>
        <w:trPr>
          <w:trHeight w:val="561" w:hRule="atLeast"/>
        </w:trPr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6" w:hRule="atLeast"/>
        </w:trPr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1906" w:h="16839"/>
      <w:pgMar w:top="1431" w:right="1339" w:bottom="1240" w:left="1152" w:header="0" w:footer="107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7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1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58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sz w:val="17"/>
        <w:szCs w:val="17"/>
      </w:rPr>
      <w:drawing>
        <wp:inline distT="0" distB="0" distL="0" distR="0">
          <wp:extent cx="56274" cy="78409"/>
          <wp:effectExtent l="0" t="0" r="0" b="0"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274" cy="78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1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58"/>
      <w:spacing w:line="199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sz w:val="17"/>
        <w:szCs w:val="17"/>
      </w:rPr>
      <w:drawing>
        <wp:inline distT="0" distB="0" distL="0" distR="0">
          <wp:extent cx="53988" cy="79667"/>
          <wp:effectExtent l="0" t="0" r="0" b="0"/>
          <wp:docPr id="5" name="IM 5"/>
          <wp:cNvGraphicFramePr/>
          <a:graphic>
            <a:graphicData uri="http://schemas.openxmlformats.org/drawingml/2006/picture">
              <pic:pic>
                <pic:nvPicPr>
                  <pic:cNvPr id="5" name="I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3988" cy="7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image" Target="media/image3.jpe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虞科〔2018〕号</dc:title>
  <dc:creator>Sky123.Org</dc:creator>
  <dcterms:created xsi:type="dcterms:W3CDTF">2020-11-13T09:01:00Z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2023-02-16T18:42:00</vt:filetime>
  </property>
  <property fmtid="{D5CDD505-2E9C-101B-9397-08002B2CF9AE}" pid="4" name="UsrData">
    <vt:lpwstr>63ee086e12a11500157df63c</vt:lpwstr>
  </property>
</Properties>
</file>