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9"/>
        <w:spacing w:before="500" w:line="219" w:lineRule="auto"/>
        <w:rPr>
          <w:rFonts w:ascii="SimSun" w:hAnsi="SimSun" w:eastAsia="SimSun" w:cs="SimSun"/>
          <w:sz w:val="101"/>
          <w:szCs w:val="101"/>
        </w:rPr>
      </w:pPr>
      <w:r>
        <w:rPr>
          <w:rFonts w:ascii="SimSun" w:hAnsi="SimSun" w:eastAsia="SimSun" w:cs="SimSun"/>
          <w:sz w:val="101"/>
          <w:szCs w:val="101"/>
          <w:b/>
          <w:bCs/>
          <w:color w:val="FD2129"/>
          <w:spacing w:val="-73"/>
          <w:w w:val="74"/>
        </w:rPr>
        <w:t>绍兴市上虞区科学技术局文件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337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虞科〔2021〕12号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6115093" cy="381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5093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666" w:right="1047" w:hanging="1940"/>
        <w:spacing w:before="149" w:line="223" w:lineRule="auto"/>
        <w:rPr>
          <w:rFonts w:ascii="SimHei" w:hAnsi="SimHei" w:eastAsia="SimHei" w:cs="SimHei"/>
          <w:sz w:val="46"/>
          <w:szCs w:val="46"/>
        </w:rPr>
      </w:pPr>
      <w:r>
        <w:rPr>
          <w:rFonts w:ascii="SimHei" w:hAnsi="SimHei" w:eastAsia="SimHei" w:cs="SimHei"/>
          <w:sz w:val="46"/>
          <w:szCs w:val="46"/>
          <w:b/>
          <w:bCs/>
          <w:spacing w:val="-27"/>
        </w:rPr>
        <w:t>关于下达绍兴市上虞区2021年度区级社会</w:t>
      </w:r>
      <w:r>
        <w:rPr>
          <w:rFonts w:ascii="SimHei" w:hAnsi="SimHei" w:eastAsia="SimHei" w:cs="SimHei"/>
          <w:sz w:val="46"/>
          <w:szCs w:val="46"/>
          <w:spacing w:val="18"/>
        </w:rPr>
        <w:t xml:space="preserve"> </w:t>
      </w:r>
      <w:r>
        <w:rPr>
          <w:rFonts w:ascii="SimHei" w:hAnsi="SimHei" w:eastAsia="SimHei" w:cs="SimHei"/>
          <w:sz w:val="46"/>
          <w:szCs w:val="46"/>
          <w:b/>
          <w:bCs/>
          <w:spacing w:val="-22"/>
        </w:rPr>
        <w:t>发展科技计划的通知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380"/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各项目承担单位：</w:t>
      </w:r>
    </w:p>
    <w:p>
      <w:pPr>
        <w:ind w:left="380" w:right="955" w:firstLine="660"/>
        <w:spacing w:before="187" w:line="319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根据绍兴市上虞区科技局《关于组织申报2021年度上虞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区级社会发展科技计划项目的通知》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9"/>
        </w:rPr>
        <w:t>(虞科[2021]8</w:t>
      </w:r>
      <w:r>
        <w:rPr>
          <w:rFonts w:ascii="FangSong" w:hAnsi="FangSong" w:eastAsia="FangSong" w:cs="FangSong"/>
          <w:sz w:val="33"/>
          <w:szCs w:val="33"/>
          <w:spacing w:val="-10"/>
        </w:rPr>
        <w:t>号)精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神，经各单位申报，主管部门审核，我局已完成项目初审、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专家评审、媒体公示等相关程序，现将绍兴市上虞区2021年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度区级社会发展科技项目计划下达给你们，请按</w:t>
      </w:r>
      <w:r>
        <w:rPr>
          <w:rFonts w:ascii="FangSong" w:hAnsi="FangSong" w:eastAsia="FangSong" w:cs="FangSong"/>
          <w:sz w:val="33"/>
          <w:szCs w:val="33"/>
          <w:spacing w:val="-13"/>
        </w:rPr>
        <w:t>照有关科技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计划和项目管理办法，多渠道落实配套资金，加快项目的实</w:t>
      </w:r>
    </w:p>
    <w:p>
      <w:pPr>
        <w:ind w:left="380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施，项目到期后及时提交项目绩效考评自评报告给</w:t>
      </w:r>
      <w:r>
        <w:rPr>
          <w:rFonts w:ascii="FangSong" w:hAnsi="FangSong" w:eastAsia="FangSong" w:cs="FangSong"/>
          <w:sz w:val="33"/>
          <w:szCs w:val="33"/>
          <w:spacing w:val="-13"/>
        </w:rPr>
        <w:t>我局。</w:t>
      </w:r>
    </w:p>
    <w:p>
      <w:pPr>
        <w:ind w:left="1030"/>
        <w:spacing w:before="230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附件：2021年度绍兴市上虞区级社会发展</w:t>
      </w:r>
      <w:r>
        <w:rPr>
          <w:rFonts w:ascii="FangSong" w:hAnsi="FangSong" w:eastAsia="FangSong" w:cs="FangSong"/>
          <w:sz w:val="33"/>
          <w:szCs w:val="33"/>
          <w:spacing w:val="-11"/>
        </w:rPr>
        <w:t>科技项目清单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4850"/>
        <w:spacing w:before="108" w:line="560" w:lineRule="exact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3568729</wp:posOffset>
            </wp:positionH>
            <wp:positionV relativeFrom="paragraph">
              <wp:posOffset>-605032</wp:posOffset>
            </wp:positionV>
            <wp:extent cx="1568468" cy="154940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68" cy="154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9"/>
          <w:position w:val="16"/>
        </w:rPr>
        <w:t>绍兴市上虞区科学技术局</w:t>
      </w:r>
    </w:p>
    <w:p>
      <w:pPr>
        <w:ind w:left="5510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2021年10月22日</w:t>
      </w:r>
    </w:p>
    <w:p>
      <w:pPr>
        <w:sectPr>
          <w:pgSz w:w="11890" w:h="16830"/>
          <w:pgMar w:top="1430" w:right="1169" w:bottom="0" w:left="1089" w:header="0" w:footer="0" w:gutter="0"/>
        </w:sectPr>
        <w:rPr/>
      </w:pPr>
    </w:p>
    <w:p>
      <w:pPr>
        <w:ind w:left="85"/>
        <w:spacing w:before="7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附件：</w:t>
      </w:r>
    </w:p>
    <w:p>
      <w:pPr>
        <w:ind w:left="359"/>
        <w:spacing w:before="175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12"/>
        </w:rPr>
        <w:t>2021</w:t>
      </w:r>
      <w:r>
        <w:rPr>
          <w:rFonts w:ascii="SimHei" w:hAnsi="SimHei" w:eastAsia="SimHei" w:cs="SimHei"/>
          <w:sz w:val="34"/>
          <w:szCs w:val="34"/>
          <w:spacing w:val="-18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12"/>
        </w:rPr>
        <w:t>年度绍兴市上虞区级社会发展科技项目清单</w:t>
      </w:r>
    </w:p>
    <w:p>
      <w:pPr>
        <w:rPr/>
      </w:pPr>
      <w:r/>
    </w:p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82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5423"/>
        <w:gridCol w:w="2163"/>
      </w:tblGrid>
      <w:tr>
        <w:trPr>
          <w:trHeight w:val="614" w:hRule="atLeast"/>
        </w:trPr>
        <w:tc>
          <w:tcPr>
            <w:tcW w:w="704" w:type="dxa"/>
            <w:vAlign w:val="top"/>
          </w:tcPr>
          <w:p>
            <w:pPr>
              <w:ind w:left="138"/>
              <w:spacing w:before="20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5423" w:type="dxa"/>
            <w:vAlign w:val="top"/>
          </w:tcPr>
          <w:p>
            <w:pPr>
              <w:ind w:left="2094"/>
              <w:spacing w:before="20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项</w:t>
            </w:r>
            <w:r>
              <w:rPr>
                <w:rFonts w:ascii="SimSun" w:hAnsi="SimSun" w:eastAsia="SimSun" w:cs="SimSun"/>
                <w:sz w:val="21"/>
                <w:szCs w:val="21"/>
                <w:spacing w:val="9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目</w:t>
            </w:r>
            <w:r>
              <w:rPr>
                <w:rFonts w:ascii="SimSun" w:hAnsi="SimSun" w:eastAsia="SimSun" w:cs="SimSun"/>
                <w:sz w:val="21"/>
                <w:szCs w:val="21"/>
                <w:spacing w:val="5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称</w:t>
            </w:r>
          </w:p>
        </w:tc>
        <w:tc>
          <w:tcPr>
            <w:tcW w:w="2163" w:type="dxa"/>
            <w:vAlign w:val="top"/>
          </w:tcPr>
          <w:p>
            <w:pPr>
              <w:ind w:left="421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承担单位</w:t>
            </w:r>
          </w:p>
        </w:tc>
      </w:tr>
      <w:tr>
        <w:trPr>
          <w:trHeight w:val="630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423" w:type="dxa"/>
            <w:vAlign w:val="top"/>
          </w:tcPr>
          <w:p>
            <w:pPr>
              <w:ind w:left="121" w:right="119"/>
              <w:spacing w:before="79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超声引导下锁骨上神经阻滞和肌间沟臂丛神经阻滞用于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锁骨骨折术后的镇痛效果比较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20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5423" w:type="dxa"/>
            <w:vAlign w:val="top"/>
          </w:tcPr>
          <w:p>
            <w:pPr>
              <w:ind w:left="121" w:right="104"/>
              <w:spacing w:before="78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丹参酮ⅡA抑制</w:t>
            </w:r>
            <w:r>
              <w:rPr>
                <w:rFonts w:ascii="SimSun" w:hAnsi="SimSun" w:eastAsia="SimSun" w:cs="SimSun"/>
                <w:sz w:val="21"/>
                <w:szCs w:val="21"/>
              </w:rPr>
              <w:t>PKM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2/</w:t>
            </w:r>
            <w:r>
              <w:rPr>
                <w:rFonts w:ascii="SimSun" w:hAnsi="SimSun" w:eastAsia="SimSun" w:cs="SimSun"/>
                <w:sz w:val="21"/>
                <w:szCs w:val="21"/>
              </w:rPr>
              <w:t>HIF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-</w:t>
            </w:r>
            <w:r>
              <w:rPr>
                <w:rFonts w:ascii="SimSun" w:hAnsi="SimSun" w:eastAsia="SimSun" w:cs="SimSun"/>
                <w:sz w:val="21"/>
                <w:szCs w:val="21"/>
              </w:rPr>
              <w:t>la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信号抑制动脉粥样硬化过程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血管新生的研究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0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上虞区6-14岁儿童超重、肥胖及糖代谢现状调查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5423" w:type="dxa"/>
            <w:vAlign w:val="top"/>
          </w:tcPr>
          <w:p>
            <w:pPr>
              <w:ind w:left="121" w:right="121"/>
              <w:spacing w:before="79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前列腺特异性抗原密度、前列腺体积联合胱抑素-C对前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列腺肿瘤诊断价值研究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6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5423" w:type="dxa"/>
            <w:vAlign w:val="top"/>
          </w:tcPr>
          <w:p>
            <w:pPr>
              <w:ind w:left="120" w:right="103" w:hanging="19"/>
              <w:spacing w:before="7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儿童癫痫患者左乙拉西坦血药浓度相关研究及治疗疗效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的观察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20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5423" w:type="dxa"/>
            <w:vAlign w:val="top"/>
          </w:tcPr>
          <w:p>
            <w:pPr>
              <w:ind w:left="121" w:right="41"/>
              <w:spacing w:before="71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情景微视频在术前访中的应用对老年患者全麻后早期认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知功能障碍的影响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39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77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危重症患者早期康复治疗的临床研究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2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上虞地区妊娠期铁缺乏及缺铁性贫血的现况调查分析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20" w:hRule="atLeast"/>
        </w:trPr>
        <w:tc>
          <w:tcPr>
            <w:tcW w:w="704" w:type="dxa"/>
            <w:vAlign w:val="top"/>
          </w:tcPr>
          <w:p>
            <w:pPr>
              <w:ind w:left="284"/>
              <w:spacing w:before="2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透明帽辅助内镜下治疗内痔的临床研究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6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5423" w:type="dxa"/>
            <w:vAlign w:val="top"/>
          </w:tcPr>
          <w:p>
            <w:pPr>
              <w:ind w:left="121" w:right="82"/>
              <w:spacing w:before="93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肌骨超声在诊断慢性踝关节外侧副韧带损伤中的应用研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5423" w:type="dxa"/>
            <w:vAlign w:val="top"/>
          </w:tcPr>
          <w:p>
            <w:pPr>
              <w:ind w:left="121" w:right="80"/>
              <w:spacing w:before="9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康复训练对改善慢性阻塞性肺病(稳定期)患者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肺功能及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运动耐量的研究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40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7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2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绍兴市上虞综合性医院感染管理优化研究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2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20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风险管理在手术室护理管理中应用的效果研究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一种数码定位的细菌考核质量控制片的制备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上虞人民医院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7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5423" w:type="dxa"/>
            <w:vAlign w:val="top"/>
          </w:tcPr>
          <w:p>
            <w:pPr>
              <w:ind w:left="121" w:right="122"/>
              <w:spacing w:before="91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肩关节镜下双排锚钉缝线桥技术治疗</w:t>
            </w:r>
            <w:r>
              <w:rPr>
                <w:rFonts w:ascii="SimSun" w:hAnsi="SimSun" w:eastAsia="SimSun" w:cs="SimSun"/>
                <w:sz w:val="21"/>
                <w:szCs w:val="21"/>
              </w:rPr>
              <w:t>BiglianiII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型肩峰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撞击</w:t>
            </w:r>
            <w:r>
              <w:rPr>
                <w:rFonts w:ascii="SimSun" w:hAnsi="SimSun" w:eastAsia="SimSun" w:cs="SimSun"/>
                <w:sz w:val="21"/>
                <w:szCs w:val="21"/>
              </w:rPr>
              <w:t>MutchI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型肱骨大结节骨折患者的疗效分析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30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7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任脉药物铺灸治疗脾胃虚寒型慢性胃炎的疗效观察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30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7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清肺三子汤加减治疗小儿急性支气管炎的临床研究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24" w:hRule="atLeast"/>
        </w:trPr>
        <w:tc>
          <w:tcPr>
            <w:tcW w:w="704" w:type="dxa"/>
            <w:vAlign w:val="top"/>
          </w:tcPr>
          <w:p>
            <w:pPr>
              <w:ind w:left="235"/>
              <w:spacing w:before="27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5423" w:type="dxa"/>
            <w:vAlign w:val="top"/>
          </w:tcPr>
          <w:p>
            <w:pPr>
              <w:ind w:left="121"/>
              <w:spacing w:before="2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上焦宣痹汤加减治疗湿热型咳嗽疗效观察</w:t>
            </w:r>
          </w:p>
        </w:tc>
        <w:tc>
          <w:tcPr>
            <w:tcW w:w="2163" w:type="dxa"/>
            <w:vAlign w:val="top"/>
          </w:tcPr>
          <w:p>
            <w:pPr>
              <w:ind w:left="448"/>
              <w:spacing w:before="21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890" w:h="16830"/>
          <w:pgMar w:top="1381" w:right="1783" w:bottom="0" w:left="1664" w:header="0" w:footer="0" w:gutter="0"/>
        </w:sectPr>
        <w:rPr/>
      </w:pPr>
    </w:p>
    <w:p>
      <w:pPr>
        <w:spacing w:line="89" w:lineRule="exact"/>
        <w:rPr/>
      </w:pPr>
      <w:r/>
    </w:p>
    <w:tbl>
      <w:tblPr>
        <w:tblStyle w:val="2"/>
        <w:tblW w:w="8239" w:type="dxa"/>
        <w:tblInd w:w="19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5383"/>
        <w:gridCol w:w="2142"/>
      </w:tblGrid>
      <w:tr>
        <w:trPr>
          <w:trHeight w:val="624" w:hRule="atLeast"/>
        </w:trPr>
        <w:tc>
          <w:tcPr>
            <w:tcW w:w="714" w:type="dxa"/>
            <w:vAlign w:val="top"/>
          </w:tcPr>
          <w:p>
            <w:pPr>
              <w:ind w:left="137"/>
              <w:spacing w:before="21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5383" w:type="dxa"/>
            <w:vAlign w:val="top"/>
          </w:tcPr>
          <w:p>
            <w:pPr>
              <w:ind w:left="2033"/>
              <w:spacing w:before="2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项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目</w:t>
            </w:r>
            <w:r>
              <w:rPr>
                <w:rFonts w:ascii="SimSun" w:hAnsi="SimSun" w:eastAsia="SimSun" w:cs="SimSun"/>
                <w:sz w:val="21"/>
                <w:szCs w:val="21"/>
                <w:spacing w:val="7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6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20"/>
              </w:rPr>
              <w:t>称</w:t>
            </w:r>
          </w:p>
        </w:tc>
        <w:tc>
          <w:tcPr>
            <w:tcW w:w="2142" w:type="dxa"/>
            <w:vAlign w:val="top"/>
          </w:tcPr>
          <w:p>
            <w:pPr>
              <w:ind w:left="420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承担单位</w:t>
            </w:r>
          </w:p>
        </w:tc>
      </w:tr>
      <w:tr>
        <w:trPr>
          <w:trHeight w:val="62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5383" w:type="dxa"/>
            <w:vAlign w:val="top"/>
          </w:tcPr>
          <w:p>
            <w:pPr>
              <w:ind w:left="90" w:right="153"/>
              <w:spacing w:before="48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白芥子耳穴贴压改善尿毒症透析患者皮肤瘙痒的临床研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究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2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炙甘草汤加味治疗阴虚瘀阻型痤疮的临床研穷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3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1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补肾活血法治疗肾虚血瘀型卵巢储备功能下降临床观察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颈动脉超声规范化检查基层医院应用研究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5383" w:type="dxa"/>
            <w:vAlign w:val="top"/>
          </w:tcPr>
          <w:p>
            <w:pPr>
              <w:ind w:left="90" w:right="151"/>
              <w:spacing w:before="71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桂枝芍药知母汤加减联合甲氨蝶呤片治疗类风湿性关节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炎的临床疗效研究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3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5383" w:type="dxa"/>
            <w:vAlign w:val="top"/>
          </w:tcPr>
          <w:p>
            <w:pPr>
              <w:ind w:left="90" w:right="145"/>
              <w:spacing w:before="72" w:line="24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补阳还五汤中药配方颗粒对改善不同</w:t>
            </w:r>
            <w:r>
              <w:rPr>
                <w:rFonts w:ascii="SimSun" w:hAnsi="SimSun" w:eastAsia="SimSun" w:cs="SimSun"/>
                <w:sz w:val="21"/>
                <w:szCs w:val="21"/>
              </w:rPr>
              <w:t>Padua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评分分组的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恶性肿瘤患者血液高凝状态的临床疗效观察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2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5383" w:type="dxa"/>
            <w:vAlign w:val="top"/>
          </w:tcPr>
          <w:p>
            <w:pPr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《中医药膳知识库》的设计与构建研究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2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5383" w:type="dxa"/>
            <w:vAlign w:val="top"/>
          </w:tcPr>
          <w:p>
            <w:pPr>
              <w:ind w:left="90" w:right="144"/>
              <w:spacing w:before="74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水垫容量与不同体重指数对应性变化在预防尾骶部压力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性损伤的有效性研究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2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5383" w:type="dxa"/>
            <w:vAlign w:val="top"/>
          </w:tcPr>
          <w:p>
            <w:pPr>
              <w:ind w:left="90" w:right="127"/>
              <w:spacing w:before="42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基于</w:t>
            </w:r>
            <w:r>
              <w:rPr>
                <w:rFonts w:ascii="SimSun" w:hAnsi="SimSun" w:eastAsia="SimSun" w:cs="SimSun"/>
                <w:sz w:val="21"/>
                <w:szCs w:val="21"/>
              </w:rPr>
              <w:t>MDCT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低剂量靶扫描技术联合</w:t>
            </w:r>
            <w:r>
              <w:rPr>
                <w:rFonts w:ascii="SimSun" w:hAnsi="SimSun" w:eastAsia="SimSun" w:cs="SimSun"/>
                <w:sz w:val="21"/>
                <w:szCs w:val="21"/>
              </w:rPr>
              <w:t>DWI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多模态扫描在难定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性肺结节诊断准确度与病理对照研究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2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5383" w:type="dxa"/>
            <w:vAlign w:val="top"/>
          </w:tcPr>
          <w:p>
            <w:pPr>
              <w:ind w:left="90" w:right="125"/>
              <w:spacing w:before="64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补肾三针结合雷火灸治疗前列腺电切术后不稳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定膀胱的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临床疗效观察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2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中药泡洗缓解卡培他滨所致手足综合症的疗效观察</w:t>
            </w:r>
          </w:p>
        </w:tc>
        <w:tc>
          <w:tcPr>
            <w:tcW w:w="2142" w:type="dxa"/>
            <w:vAlign w:val="top"/>
          </w:tcPr>
          <w:p>
            <w:pPr>
              <w:ind w:left="437"/>
              <w:spacing w:before="21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上虞中医医院</w:t>
            </w:r>
          </w:p>
        </w:tc>
      </w:tr>
      <w:tr>
        <w:trPr>
          <w:trHeight w:val="64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7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2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上虞区出生新生儿先天性</w:t>
            </w:r>
            <w:r>
              <w:rPr>
                <w:rFonts w:ascii="SimSun" w:hAnsi="SimSun" w:eastAsia="SimSun" w:cs="SimSun"/>
                <w:sz w:val="21"/>
                <w:szCs w:val="21"/>
              </w:rPr>
              <w:t>CMV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筛查</w:t>
            </w:r>
          </w:p>
        </w:tc>
        <w:tc>
          <w:tcPr>
            <w:tcW w:w="2142" w:type="dxa"/>
            <w:vAlign w:val="top"/>
          </w:tcPr>
          <w:p>
            <w:pPr>
              <w:ind w:left="328"/>
              <w:spacing w:before="22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上虞妇幼保健院</w:t>
            </w:r>
          </w:p>
        </w:tc>
      </w:tr>
      <w:tr>
        <w:trPr>
          <w:trHeight w:val="62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31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13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加速康复外科理念下妇科腹腔镜术后的饮食管理及价值</w:t>
            </w:r>
          </w:p>
        </w:tc>
        <w:tc>
          <w:tcPr>
            <w:tcW w:w="2142" w:type="dxa"/>
            <w:vAlign w:val="top"/>
          </w:tcPr>
          <w:p>
            <w:pPr>
              <w:ind w:left="328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上虞妇幼保健院</w:t>
            </w:r>
          </w:p>
        </w:tc>
      </w:tr>
      <w:tr>
        <w:trPr>
          <w:trHeight w:val="62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5383" w:type="dxa"/>
            <w:vAlign w:val="top"/>
          </w:tcPr>
          <w:p>
            <w:pPr>
              <w:ind w:left="90" w:right="113"/>
              <w:spacing w:before="55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脐血培养、常规、</w:t>
            </w:r>
            <w:r>
              <w:rPr>
                <w:rFonts w:ascii="SimSun" w:hAnsi="SimSun" w:eastAsia="SimSun" w:cs="SimSun"/>
                <w:sz w:val="21"/>
                <w:szCs w:val="21"/>
              </w:rPr>
              <w:t>PCT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检查对照新生儿外周血培养、常规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PCT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的检测对新生儿早发感染治疗进行临床意义的探讨</w:t>
            </w:r>
          </w:p>
        </w:tc>
        <w:tc>
          <w:tcPr>
            <w:tcW w:w="2142" w:type="dxa"/>
            <w:vAlign w:val="top"/>
          </w:tcPr>
          <w:p>
            <w:pPr>
              <w:ind w:left="328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上虞妇幼保健院</w:t>
            </w:r>
          </w:p>
        </w:tc>
      </w:tr>
      <w:tr>
        <w:trPr>
          <w:trHeight w:val="62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5383" w:type="dxa"/>
            <w:vAlign w:val="top"/>
          </w:tcPr>
          <w:p>
            <w:pPr>
              <w:ind w:left="90" w:right="41"/>
              <w:spacing w:before="65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盐酸右美托咪定对小儿全麻手术中血流动力学、苏醒质量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和术后镇痛影响</w:t>
            </w:r>
          </w:p>
        </w:tc>
        <w:tc>
          <w:tcPr>
            <w:tcW w:w="2142" w:type="dxa"/>
            <w:vAlign w:val="top"/>
          </w:tcPr>
          <w:p>
            <w:pPr>
              <w:ind w:left="328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上虞妇幼保健院</w:t>
            </w:r>
          </w:p>
        </w:tc>
      </w:tr>
      <w:tr>
        <w:trPr>
          <w:trHeight w:val="620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  <w:tc>
          <w:tcPr>
            <w:tcW w:w="5383" w:type="dxa"/>
            <w:vAlign w:val="top"/>
          </w:tcPr>
          <w:p>
            <w:pPr>
              <w:ind w:left="90" w:right="150"/>
              <w:spacing w:before="64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开腹胆总管切开取石与腹腔镜下胆总管切开取石的研究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对比分析</w:t>
            </w:r>
          </w:p>
        </w:tc>
        <w:tc>
          <w:tcPr>
            <w:tcW w:w="2142" w:type="dxa"/>
            <w:vAlign w:val="top"/>
          </w:tcPr>
          <w:p>
            <w:pPr>
              <w:ind w:left="228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上虞第二人民医院</w:t>
            </w:r>
          </w:p>
        </w:tc>
      </w:tr>
      <w:tr>
        <w:trPr>
          <w:trHeight w:val="62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5383" w:type="dxa"/>
            <w:vAlign w:val="top"/>
          </w:tcPr>
          <w:p>
            <w:pPr>
              <w:ind w:left="90" w:right="148"/>
              <w:spacing w:before="76" w:line="24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头针及腹针疗法在青少年屈光不正干预治疗中的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协同作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用研究</w:t>
            </w:r>
          </w:p>
        </w:tc>
        <w:tc>
          <w:tcPr>
            <w:tcW w:w="2142" w:type="dxa"/>
            <w:vAlign w:val="top"/>
          </w:tcPr>
          <w:p>
            <w:pPr>
              <w:ind w:left="228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上虞第二人民医院</w:t>
            </w:r>
          </w:p>
        </w:tc>
      </w:tr>
      <w:tr>
        <w:trPr>
          <w:trHeight w:val="629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7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36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曹娥江内河航运气象影响要素研究</w:t>
            </w:r>
          </w:p>
        </w:tc>
        <w:tc>
          <w:tcPr>
            <w:tcW w:w="2142" w:type="dxa"/>
            <w:vAlign w:val="top"/>
          </w:tcPr>
          <w:p>
            <w:pPr>
              <w:ind w:left="117"/>
              <w:spacing w:before="2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绍兴市上虞区气象局</w:t>
            </w:r>
          </w:p>
        </w:tc>
      </w:tr>
      <w:tr>
        <w:trPr>
          <w:trHeight w:val="624" w:hRule="atLeast"/>
        </w:trPr>
        <w:tc>
          <w:tcPr>
            <w:tcW w:w="714" w:type="dxa"/>
            <w:vAlign w:val="top"/>
          </w:tcPr>
          <w:p>
            <w:pPr>
              <w:ind w:left="245"/>
              <w:spacing w:before="27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37</w:t>
            </w:r>
          </w:p>
        </w:tc>
        <w:tc>
          <w:tcPr>
            <w:tcW w:w="5383" w:type="dxa"/>
            <w:vAlign w:val="top"/>
          </w:tcPr>
          <w:p>
            <w:pPr>
              <w:ind w:left="90"/>
              <w:spacing w:before="2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21世纪登陆台风位置与上虞降水分布的研究</w:t>
            </w:r>
          </w:p>
        </w:tc>
        <w:tc>
          <w:tcPr>
            <w:tcW w:w="2142" w:type="dxa"/>
            <w:vAlign w:val="top"/>
          </w:tcPr>
          <w:p>
            <w:pPr>
              <w:ind w:left="117"/>
              <w:spacing w:before="21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绍兴市上虞区气象局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310" w:h="17120"/>
      <w:pgMar w:top="1455" w:right="1846" w:bottom="0" w:left="18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2023-02-16T18:44:09Z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2023-02-16T18:44:10</vt:filetime>
  </property>
  <property fmtid="{D5CDD505-2E9C-101B-9397-08002B2CF9AE}" pid="4" name="UsrData">
    <vt:lpwstr>63ee08ed7e63a600153ff705</vt:lpwstr>
  </property>
</Properties>
</file>